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0FAA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министерства образования и науки Архангельской области</w:t>
        </w:r>
        <w:r>
          <w:rPr>
            <w:rStyle w:val="a4"/>
            <w:b w:val="0"/>
            <w:bCs w:val="0"/>
          </w:rPr>
          <w:br/>
          <w:t>от 27 августа 2013 г. N 07</w:t>
        </w:r>
        <w:r>
          <w:rPr>
            <w:rStyle w:val="a4"/>
            <w:b w:val="0"/>
            <w:bCs w:val="0"/>
          </w:rPr>
          <w:br/>
          <w:t>"О компенсации платы, взимаемой с родителей (</w:t>
        </w:r>
        <w:r>
          <w:rPr>
            <w:rStyle w:val="a4"/>
            <w:b w:val="0"/>
            <w:bCs w:val="0"/>
          </w:rPr>
          <w:t>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в Архангельской области"</w:t>
        </w:r>
      </w:hyperlink>
    </w:p>
    <w:p w:rsidR="00000000" w:rsidRDefault="00490FAA">
      <w:pPr>
        <w:pStyle w:val="afff"/>
      </w:pPr>
      <w:r>
        <w:t>С изменениями и дополнениями от:</w:t>
      </w:r>
    </w:p>
    <w:p w:rsidR="00000000" w:rsidRDefault="00490FAA">
      <w:pPr>
        <w:pStyle w:val="afd"/>
      </w:pPr>
      <w:r>
        <w:t>20 сентября, 6 ноября 2013 г., 6 февраля, 5 июня 2014 г., 27 января, 7 мая, 23 ноября 2015 г., 19 января 2016 г.</w:t>
      </w:r>
    </w:p>
    <w:p w:rsidR="00000000" w:rsidRDefault="00490FAA"/>
    <w:p w:rsidR="00000000" w:rsidRDefault="00490FAA">
      <w:r>
        <w:t xml:space="preserve">В соответствии с </w:t>
      </w:r>
      <w:hyperlink r:id="rId5" w:history="1">
        <w:r>
          <w:rPr>
            <w:rStyle w:val="a4"/>
          </w:rPr>
          <w:t>частью 5 статьи 65</w:t>
        </w:r>
      </w:hyperlink>
      <w:r>
        <w:t xml:space="preserve"> Федерального закона Российской Федераци</w:t>
      </w:r>
      <w:r>
        <w:t xml:space="preserve">и от 29 декабря 2012 года N 273-ФЗ "Об образовании в Российской Федерации", </w:t>
      </w:r>
      <w:hyperlink r:id="rId6" w:history="1">
        <w:r>
          <w:rPr>
            <w:rStyle w:val="a4"/>
          </w:rPr>
          <w:t>подпунктом 29 пункта 1 статьи 10</w:t>
        </w:r>
      </w:hyperlink>
      <w:r>
        <w:t xml:space="preserve"> и </w:t>
      </w:r>
      <w:hyperlink r:id="rId7" w:history="1">
        <w:r>
          <w:rPr>
            <w:rStyle w:val="a4"/>
          </w:rPr>
          <w:t>пунктом 3 статьи 34</w:t>
        </w:r>
      </w:hyperlink>
      <w:r>
        <w:t xml:space="preserve"> областного закона от 02 июля 2013 года N 712-41-ОЗ "Об образовании в Архангельской области", министерство образования и науки Архангельской области постановляет:</w:t>
      </w:r>
    </w:p>
    <w:p w:rsidR="00000000" w:rsidRDefault="00490FAA">
      <w:bookmarkStart w:id="0" w:name="sub_1"/>
      <w:r>
        <w:t>1. Утвердить прилагаемые:</w:t>
      </w:r>
    </w:p>
    <w:bookmarkEnd w:id="0"/>
    <w:p w:rsidR="00000000" w:rsidRDefault="00490FAA">
      <w:r>
        <w:fldChar w:fldCharType="begin"/>
      </w:r>
      <w:r>
        <w:instrText>HYPERLINK \l "sub_10000"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обращения за получе</w:t>
      </w:r>
      <w:r>
        <w:t>нием компенсации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а также ее выплаты, в Архангельской области;</w:t>
      </w:r>
    </w:p>
    <w:p w:rsidR="00000000" w:rsidRDefault="00490FAA">
      <w:hyperlink w:anchor="sub_20000" w:history="1">
        <w:r>
          <w:rPr>
            <w:rStyle w:val="a4"/>
          </w:rPr>
          <w:t>средний размер платы</w:t>
        </w:r>
      </w:hyperlink>
      <w:r>
        <w:t>, взимаемой с родителей (иных 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образования;</w:t>
      </w:r>
    </w:p>
    <w:p w:rsidR="00000000" w:rsidRDefault="00490FAA">
      <w:hyperlink w:anchor="sub_3000" w:history="1">
        <w:r>
          <w:rPr>
            <w:rStyle w:val="a4"/>
          </w:rPr>
          <w:t>методику</w:t>
        </w:r>
      </w:hyperlink>
      <w:r>
        <w:t xml:space="preserve"> расчета максимального размера платы, взимаемой с родителей (иных законных представителей) за присмотр и уход за детьми в государственных и муниципальных образовательных организациях для каждого муниципального образования, находящ</w:t>
      </w:r>
      <w:r>
        <w:t>егося на территории Архангельской области, в зависимости от условий присмотра и ухода за детьми;</w:t>
      </w:r>
    </w:p>
    <w:p w:rsidR="00000000" w:rsidRDefault="00490FAA">
      <w:hyperlink w:anchor="sub_4000" w:history="1">
        <w:r>
          <w:rPr>
            <w:rStyle w:val="a4"/>
          </w:rPr>
          <w:t>максимальный размер платы</w:t>
        </w:r>
      </w:hyperlink>
      <w:r>
        <w:t>, взимаемой с родителей (иных законных представителей) за присмотр и уход за детьми в государственных и муни</w:t>
      </w:r>
      <w:r>
        <w:t>ципальных образовательных организациях, реализующих образовательную программу дошкольного образования, для каждого муниципального образования находящегося на территории Архангельской области, в зависимости от условий присмотра и ухода за детьми.</w:t>
      </w:r>
    </w:p>
    <w:p w:rsidR="00000000" w:rsidRDefault="00490FAA">
      <w:bookmarkStart w:id="1" w:name="sub_2"/>
      <w:r>
        <w:t>2. На</w:t>
      </w:r>
      <w:r>
        <w:t xml:space="preserve">стоящее постановление вступает в силу с 01 сентября 2013 года, но не ранее даты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"/>
    <w:p w:rsidR="00000000" w:rsidRDefault="00490FA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0FAA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90FAA">
            <w:pPr>
              <w:pStyle w:val="aff9"/>
              <w:jc w:val="right"/>
            </w:pPr>
            <w:r>
              <w:t>И.И. Иванкин</w:t>
            </w:r>
          </w:p>
        </w:tc>
      </w:tr>
    </w:tbl>
    <w:p w:rsidR="00000000" w:rsidRDefault="00490FAA"/>
    <w:p w:rsidR="00000000" w:rsidRDefault="00490FAA">
      <w:pPr>
        <w:pStyle w:val="afa"/>
        <w:rPr>
          <w:color w:val="000000"/>
          <w:sz w:val="16"/>
          <w:szCs w:val="16"/>
        </w:rPr>
      </w:pPr>
      <w:bookmarkStart w:id="2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490FAA">
      <w:pPr>
        <w:pStyle w:val="afb"/>
      </w:pPr>
      <w:r>
        <w:fldChar w:fldCharType="begin"/>
      </w:r>
      <w:r>
        <w:instrText>HYPERLINK</w:instrText>
      </w:r>
      <w:r>
        <w:instrText xml:space="preserve"> "http://ivo.garant.ru/document?id=25197512&amp;sub=1003"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образования и науки Архангельской области от 23 ноября 2015 г. N 15 настоящий Порядок изложен в новой редакции</w:t>
      </w:r>
    </w:p>
    <w:p w:rsidR="00000000" w:rsidRDefault="00490FAA">
      <w:pPr>
        <w:pStyle w:val="afb"/>
      </w:pPr>
      <w:hyperlink r:id="rId9" w:history="1">
        <w:r>
          <w:rPr>
            <w:rStyle w:val="a4"/>
          </w:rPr>
          <w:t>См. текст Порядка в предыдущей редакции</w:t>
        </w:r>
      </w:hyperlink>
    </w:p>
    <w:p w:rsidR="00000000" w:rsidRDefault="00490FAA">
      <w:pPr>
        <w:pStyle w:val="1"/>
      </w:pPr>
      <w:r>
        <w:t>Порядок</w:t>
      </w:r>
      <w:r>
        <w:br/>
        <w:t xml:space="preserve">обращения за получением компенсации платы, взимаемой с родителей (иных </w:t>
      </w:r>
      <w:r>
        <w:lastRenderedPageBreak/>
        <w:t>законных представителей) за присмотр и уход за детьми в образовательных организациях, реализующих образовательную программу дошкольн</w:t>
      </w:r>
      <w:r>
        <w:t>ого образования, а также ее выплаты, в Архангельской области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министерства образования и науки Архангельской области от 27 августа 2013 г. N 07)</w:t>
      </w:r>
      <w:r>
        <w:br/>
        <w:t xml:space="preserve">(в ред. </w:t>
      </w:r>
      <w:hyperlink r:id="rId10" w:history="1">
        <w:r>
          <w:rPr>
            <w:rStyle w:val="a4"/>
            <w:b w:val="0"/>
            <w:bCs w:val="0"/>
          </w:rPr>
          <w:t>п</w:t>
        </w:r>
        <w:r>
          <w:rPr>
            <w:rStyle w:val="a4"/>
            <w:b w:val="0"/>
            <w:bCs w:val="0"/>
          </w:rPr>
          <w:t>остановления</w:t>
        </w:r>
      </w:hyperlink>
      <w:r>
        <w:t xml:space="preserve"> министерства образования и науки Архангельской области от 23 ноября 2015 г. N 15)</w:t>
      </w:r>
    </w:p>
    <w:p w:rsidR="00000000" w:rsidRDefault="00490FAA">
      <w:pPr>
        <w:pStyle w:val="afff"/>
      </w:pPr>
      <w:r>
        <w:t>С изменениями и дополнениями от:</w:t>
      </w:r>
    </w:p>
    <w:p w:rsidR="00000000" w:rsidRDefault="00490FAA">
      <w:pPr>
        <w:pStyle w:val="afd"/>
      </w:pPr>
      <w:r>
        <w:t>20 сентября 2013 г., 5 июня 2014 г., 23 ноября 2015 г.</w:t>
      </w:r>
    </w:p>
    <w:p w:rsidR="00000000" w:rsidRDefault="00490FAA"/>
    <w:p w:rsidR="00000000" w:rsidRDefault="00490FAA">
      <w:bookmarkStart w:id="3" w:name="sub_1001"/>
      <w:r>
        <w:t xml:space="preserve">1. Настоящий Порядок разработан в соответствии с </w:t>
      </w:r>
      <w:hyperlink r:id="rId11" w:history="1">
        <w:r>
          <w:rPr>
            <w:rStyle w:val="a4"/>
          </w:rPr>
          <w:t>частью 5 статьи 65</w:t>
        </w:r>
      </w:hyperlink>
      <w:r>
        <w:t xml:space="preserve"> Федерального закона Российской Федерации от 29 декабря 2012 года N 273-ФЗ "Об образовании в Российской Федерации", </w:t>
      </w:r>
      <w:hyperlink r:id="rId12" w:history="1">
        <w:r>
          <w:rPr>
            <w:rStyle w:val="a4"/>
          </w:rPr>
          <w:t>подпунктом 29 пункта 1 статьи 10</w:t>
        </w:r>
      </w:hyperlink>
      <w:r>
        <w:t xml:space="preserve"> и </w:t>
      </w:r>
      <w:hyperlink r:id="rId13" w:history="1">
        <w:r>
          <w:rPr>
            <w:rStyle w:val="a4"/>
          </w:rPr>
          <w:t>пунктом 3 статьи 34</w:t>
        </w:r>
      </w:hyperlink>
      <w:r>
        <w:t xml:space="preserve"> областного закона от 02 июля 2013 года N 712-41-ОЗ "Об образовании в Архангельской области", и распространяется на родителей (з</w:t>
      </w:r>
      <w:r>
        <w:t>аконных представителей), дети которых посещают образовательные организации на территории Архангельской области, реализующие образовательную программу дошкольного образования (далее - образовательные организации).</w:t>
      </w:r>
    </w:p>
    <w:p w:rsidR="00000000" w:rsidRDefault="00490FAA">
      <w:bookmarkStart w:id="4" w:name="sub_1002"/>
      <w:bookmarkEnd w:id="3"/>
      <w:r>
        <w:t>2. Для назначения платы, вз</w:t>
      </w:r>
      <w:r>
        <w:t>имаемой с родителей (иных законных представителей) (далее - родительская плата) за присмотр и уход за детьми в образовательных организациях, реализующих образовательную программу дошкольного образования (далее - компенсация) родитель (законный представител</w:t>
      </w:r>
      <w:r>
        <w:t>ь) представляет в образовательную организацию следующие документы:</w:t>
      </w:r>
    </w:p>
    <w:bookmarkEnd w:id="4"/>
    <w:p w:rsidR="00000000" w:rsidRDefault="00490FAA">
      <w:r>
        <w:t xml:space="preserve">заявление по форме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Порядку;</w:t>
      </w:r>
    </w:p>
    <w:p w:rsidR="00000000" w:rsidRDefault="00490FAA">
      <w:r>
        <w:t>копию свидетельства о рождении ребенка (детей), либо копию документа, удостоверяющего личн</w:t>
      </w:r>
      <w:r>
        <w:t>ость ребенка (детей), достигшего (достигших) возраста 14 лет.</w:t>
      </w:r>
    </w:p>
    <w:p w:rsidR="00000000" w:rsidRDefault="00490FAA">
      <w:r>
        <w:t>При определении размера компенсации родительской платы учитываются дети родителя (законного представителя) в возрасте до 18 лет, в том числе дети, находящиеся под опекой в семьях граждан, и прие</w:t>
      </w:r>
      <w:r>
        <w:t>мные дети, воспитывающиеся в приемных семьях.</w:t>
      </w:r>
    </w:p>
    <w:p w:rsidR="00000000" w:rsidRDefault="00490FAA">
      <w:bookmarkStart w:id="5" w:name="sub_1003"/>
      <w:r>
        <w:t>3. Родителю (законному представителю) за счет средств областного бюджета выплачивается компенсация:</w:t>
      </w:r>
    </w:p>
    <w:p w:rsidR="00000000" w:rsidRDefault="00490FAA">
      <w:bookmarkStart w:id="6" w:name="sub_10032"/>
      <w:bookmarkEnd w:id="5"/>
      <w:r>
        <w:t>на первого ребенка в размере 20 процентов среднего размера родительской платы за соде</w:t>
      </w:r>
      <w:r>
        <w:t>ржание ребенка (присмотр и уход за ребенком) в государственных и муниципальных образовательных организациях на территории Архангельской области, реализующих образовательную программу дошкольного образования (далее - средний размер родительской платы за при</w:t>
      </w:r>
      <w:r>
        <w:t>смотр и уход за детьми в образовательных организациях);</w:t>
      </w:r>
    </w:p>
    <w:bookmarkEnd w:id="6"/>
    <w:p w:rsidR="00000000" w:rsidRDefault="00490FAA">
      <w:r>
        <w:t>на второго ребенка - в размере 50 процентов среднего размера родительской платы за присмотр и уход за детьми в образовательных организациях;</w:t>
      </w:r>
    </w:p>
    <w:p w:rsidR="00000000" w:rsidRDefault="00490FAA">
      <w:r>
        <w:t>на третьего ребенка и последующих детей - в размер</w:t>
      </w:r>
      <w:r>
        <w:t>е 70 процентов среднего размера родительской платы за присмотр и уход за детьми в образовательных организациях.</w:t>
      </w:r>
    </w:p>
    <w:p w:rsidR="00000000" w:rsidRDefault="00490FAA">
      <w:bookmarkStart w:id="7" w:name="sub_1004"/>
      <w:r>
        <w:t xml:space="preserve">4. Образовательная организация в трехдневный срок со дня обращения </w:t>
      </w:r>
      <w:r>
        <w:lastRenderedPageBreak/>
        <w:t>родителя (законного представителя) за назначением компенсации принима</w:t>
      </w:r>
      <w:r>
        <w:t>ет решение о назначении компенсации и о включении его в реестр получателей компенсации (далее - реестр) либо об отказе в назначении компенсации и извещает родителя (законного представителя) о принятом решении в течение трех дней со дня принятия решения.</w:t>
      </w:r>
    </w:p>
    <w:p w:rsidR="00000000" w:rsidRDefault="00490FAA">
      <w:bookmarkStart w:id="8" w:name="sub_1005"/>
      <w:bookmarkEnd w:id="7"/>
      <w:r>
        <w:t>5. В случаях, если выплата компенсации производится уполномоченным органом местного самоуправления муниципального района или городского округа Архангельской области (далее - уполномоченный орган местного самоуправления), выплату компенсации н</w:t>
      </w:r>
      <w:r>
        <w:t>а основании представленных образовательными организациями реестров производит уполномоченный орган местного самоуправления.</w:t>
      </w:r>
    </w:p>
    <w:p w:rsidR="00000000" w:rsidRDefault="00490FAA">
      <w:bookmarkStart w:id="9" w:name="sub_1006"/>
      <w:bookmarkEnd w:id="8"/>
      <w:r>
        <w:t>6. Образовательная организация:</w:t>
      </w:r>
    </w:p>
    <w:bookmarkEnd w:id="9"/>
    <w:p w:rsidR="00000000" w:rsidRDefault="00490FAA">
      <w:r>
        <w:t xml:space="preserve">ведет реестр по форме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 xml:space="preserve"> к на</w:t>
      </w:r>
      <w:r>
        <w:t>стоящему Порядку;</w:t>
      </w:r>
    </w:p>
    <w:p w:rsidR="00000000" w:rsidRDefault="00490FAA">
      <w:r>
        <w:t>производит операции по начислению компенсации;</w:t>
      </w:r>
    </w:p>
    <w:p w:rsidR="00000000" w:rsidRDefault="00490FAA">
      <w:r>
        <w:t xml:space="preserve">не позднее 5-го числа месяца, следующего за отчетным месяцем, перечисляет компенсации на счет родителя (законного представителя), который открыт в отделениях кредитных организаций, или через </w:t>
      </w:r>
      <w:r>
        <w:t>организации почтовой связи, а также производит выплаты компенсации наличными денежными средствами;</w:t>
      </w:r>
    </w:p>
    <w:p w:rsidR="00000000" w:rsidRDefault="00490FAA">
      <w:r>
        <w:t>не позднее 8-го числа месяца, следующего за отчетным месяцем, представляет уполномоченному органу местного самоуправления реестр и отчет о расходах по осущес</w:t>
      </w:r>
      <w:r>
        <w:t>твлению выплат компенсации (с учетом оплаты услуг почтовой связи и услуг кредитных организаций).</w:t>
      </w:r>
    </w:p>
    <w:p w:rsidR="00000000" w:rsidRDefault="00490FAA">
      <w:bookmarkStart w:id="10" w:name="sub_1007"/>
      <w:r>
        <w:t>7. Уполномоченный орган местного самоуправления:</w:t>
      </w:r>
    </w:p>
    <w:bookmarkEnd w:id="10"/>
    <w:p w:rsidR="00000000" w:rsidRDefault="00490FAA">
      <w:r>
        <w:t xml:space="preserve">не позднее 9-го числа месяца, следующего за отчетным месяцем, перечисляет компенсации на счет </w:t>
      </w:r>
      <w:r>
        <w:t>родителя (законного представителя), который открыт в отделениях кредитных организаций, или через организации почтовой связи (уполномоченный орган местного самоуправления может производить выплаты компенсации наличными денежными средствами);</w:t>
      </w:r>
    </w:p>
    <w:p w:rsidR="00000000" w:rsidRDefault="00490FAA">
      <w:r>
        <w:t>осуществляет ве</w:t>
      </w:r>
      <w:r>
        <w:t>дение сводного реестра;</w:t>
      </w:r>
    </w:p>
    <w:p w:rsidR="00000000" w:rsidRDefault="00490FAA">
      <w:r>
        <w:t xml:space="preserve">не позднее 10-го числа месяца, следующего за отчетным месяцем, представляет в министерство образования и науки Архангельской области отчет о расходах по осуществлению выплат компенсации (с учетом оплаты услуг почтовой связи и услуг </w:t>
      </w:r>
      <w:r>
        <w:t>кредитных организаций);</w:t>
      </w:r>
    </w:p>
    <w:p w:rsidR="00000000" w:rsidRDefault="00490FAA">
      <w:r>
        <w:t>на основании договора с образовательной организацией перечисляет средства для осуществления выплаты компенсации.</w:t>
      </w:r>
    </w:p>
    <w:p w:rsidR="00000000" w:rsidRDefault="00490FAA">
      <w:bookmarkStart w:id="11" w:name="sub_1008"/>
      <w:r>
        <w:t>8. Родители (законные представители) несут ответственность за своевременность и достоверность представляемых св</w:t>
      </w:r>
      <w:r>
        <w:t>едений, являющихся основанием для назначения компенсации.</w:t>
      </w:r>
    </w:p>
    <w:p w:rsidR="00000000" w:rsidRDefault="00490FAA">
      <w:bookmarkStart w:id="12" w:name="sub_1009"/>
      <w:bookmarkEnd w:id="11"/>
      <w:r>
        <w:t>9. Представление родителями (законными представителями) неполных или недостоверных сведений является основанием для отказа в предоставлении компенсации.</w:t>
      </w:r>
    </w:p>
    <w:bookmarkEnd w:id="12"/>
    <w:p w:rsidR="00000000" w:rsidRDefault="00490FAA"/>
    <w:p w:rsidR="00000000" w:rsidRDefault="00490FAA">
      <w:pPr>
        <w:pStyle w:val="afa"/>
        <w:rPr>
          <w:color w:val="000000"/>
          <w:sz w:val="16"/>
          <w:szCs w:val="16"/>
        </w:rPr>
      </w:pPr>
      <w:bookmarkStart w:id="13" w:name="sub_100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3"/>
    <w:p w:rsidR="00000000" w:rsidRDefault="00490FAA">
      <w:pPr>
        <w:pStyle w:val="afb"/>
      </w:pPr>
      <w:r>
        <w:fldChar w:fldCharType="begin"/>
      </w:r>
      <w:r>
        <w:instrText>HYPERLINK "http://ivo.garant.ru/document?id=25197512&amp;sub=1003"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образования и науки Архангельской области от 23 ноября 2015 г. N 15 настоящее приложение изложено в новой редакции</w:t>
      </w:r>
    </w:p>
    <w:p w:rsidR="00000000" w:rsidRDefault="00490FAA">
      <w:pPr>
        <w:pStyle w:val="afb"/>
      </w:pPr>
      <w:hyperlink r:id="rId1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0FAA">
      <w:pPr>
        <w:ind w:firstLine="698"/>
        <w:jc w:val="right"/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обращения за получением компенсации</w:t>
      </w:r>
      <w:r>
        <w:rPr>
          <w:rStyle w:val="a3"/>
        </w:rPr>
        <w:br/>
        <w:t>платы, взимаемой с родителей (иных законных представителей)</w:t>
      </w:r>
      <w:r>
        <w:rPr>
          <w:rStyle w:val="a3"/>
        </w:rPr>
        <w:br/>
      </w:r>
      <w:r>
        <w:rPr>
          <w:rStyle w:val="a3"/>
        </w:rPr>
        <w:t>за присмотр и уход за детьми в образовательных организациях,</w:t>
      </w:r>
      <w:r>
        <w:rPr>
          <w:rStyle w:val="a3"/>
        </w:rPr>
        <w:br/>
        <w:t>реализующих образовательную программу дошкольного образования,</w:t>
      </w:r>
      <w:r>
        <w:rPr>
          <w:rStyle w:val="a3"/>
        </w:rPr>
        <w:br/>
        <w:t>а также ее выплаты, в Архангельской области</w:t>
      </w:r>
    </w:p>
    <w:p w:rsidR="00000000" w:rsidRDefault="00490FAA">
      <w:pPr>
        <w:pStyle w:val="afff"/>
      </w:pPr>
      <w:r>
        <w:t>С изменениями и дополнениями от:</w:t>
      </w:r>
    </w:p>
    <w:p w:rsidR="00000000" w:rsidRDefault="00490FAA">
      <w:pPr>
        <w:pStyle w:val="afd"/>
      </w:pPr>
      <w:r>
        <w:t>23 ноября 2015 г.</w:t>
      </w:r>
    </w:p>
    <w:p w:rsidR="00000000" w:rsidRDefault="00490FAA"/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Дирек</w:t>
      </w:r>
      <w:r>
        <w:rPr>
          <w:sz w:val="22"/>
          <w:szCs w:val="22"/>
        </w:rPr>
        <w:t>тору (заведующему)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образовательной организации)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______________________________________,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(Ф.И.О. родителя (законного представителя)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проживающего по адресу: __________________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паспортные данные:</w:t>
      </w:r>
      <w:r>
        <w:rPr>
          <w:sz w:val="22"/>
          <w:szCs w:val="22"/>
        </w:rPr>
        <w:t xml:space="preserve"> _______________________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000000" w:rsidRDefault="00490FAA"/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ЗАЯВЛЕНИЕ</w:t>
      </w:r>
    </w:p>
    <w:p w:rsidR="00000000" w:rsidRDefault="00490FAA"/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Прошу  назначить  мне  компенсацию родительской платы за присмотр  и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уход   за     моим    (первым, вторым, тр</w:t>
      </w:r>
      <w:r>
        <w:rPr>
          <w:sz w:val="22"/>
          <w:szCs w:val="22"/>
        </w:rPr>
        <w:t>етьим и т.д.) ребенком (фамилия)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 (имя) ________________________________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в  образовательной  организации,  реализующей  образовательную  программу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дошкольного  образования  для  выплаты  мне  назначенной  компенсации   в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z w:val="22"/>
          <w:szCs w:val="22"/>
        </w:rPr>
        <w:t>становленном  порядке через отделение кредитной организации, организацию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почтовой   связи   или    наличными    денежными    средствами (выбранное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490FAA"/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родителя (законного представителя)          _____________________________</w:t>
      </w:r>
    </w:p>
    <w:p w:rsidR="00000000" w:rsidRDefault="00490FAA"/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Дата ______</w:t>
      </w:r>
      <w:r>
        <w:rPr>
          <w:sz w:val="22"/>
          <w:szCs w:val="22"/>
        </w:rPr>
        <w:t>_______________________</w:t>
      </w:r>
    </w:p>
    <w:p w:rsidR="00000000" w:rsidRDefault="00490FAA"/>
    <w:p w:rsidR="00000000" w:rsidRDefault="00490FAA">
      <w:pPr>
        <w:pStyle w:val="afa"/>
        <w:rPr>
          <w:color w:val="000000"/>
          <w:sz w:val="16"/>
          <w:szCs w:val="16"/>
        </w:rPr>
      </w:pPr>
      <w:bookmarkStart w:id="14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490FAA">
      <w:pPr>
        <w:pStyle w:val="afb"/>
      </w:pPr>
      <w:r>
        <w:fldChar w:fldCharType="begin"/>
      </w:r>
      <w:r>
        <w:instrText>HYPERLINK "http://ivo.garant.ru/document?id=25197512&amp;sub=1003"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образования и науки Архангельской области от 23 ноября 2015 г. N 15 настоящее приложение изложен</w:t>
      </w:r>
      <w:r>
        <w:t>о в новой редакции</w:t>
      </w:r>
    </w:p>
    <w:p w:rsidR="00000000" w:rsidRDefault="00490FAA">
      <w:pPr>
        <w:pStyle w:val="afb"/>
      </w:pPr>
      <w:hyperlink r:id="rId1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90FAA">
      <w:pPr>
        <w:ind w:firstLine="698"/>
        <w:jc w:val="right"/>
      </w:pPr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обращения за получением компенсации</w:t>
      </w:r>
      <w:r>
        <w:rPr>
          <w:rStyle w:val="a3"/>
        </w:rPr>
        <w:br/>
        <w:t>платы, взимаемой с родителей (иных законн</w:t>
      </w:r>
      <w:r>
        <w:rPr>
          <w:rStyle w:val="a3"/>
        </w:rPr>
        <w:t>ых представителей)</w:t>
      </w:r>
      <w:r>
        <w:rPr>
          <w:rStyle w:val="a3"/>
        </w:rPr>
        <w:br/>
        <w:t>за присмотр и уход за детьми в образовательных организациях,</w:t>
      </w:r>
      <w:r>
        <w:rPr>
          <w:rStyle w:val="a3"/>
        </w:rPr>
        <w:br/>
        <w:t>реализующих образовательную программу дошкольного образования,</w:t>
      </w:r>
      <w:r>
        <w:rPr>
          <w:rStyle w:val="a3"/>
        </w:rPr>
        <w:br/>
        <w:t>а также ее выплаты, в Архангельской области</w:t>
      </w:r>
    </w:p>
    <w:p w:rsidR="00000000" w:rsidRDefault="00490FAA">
      <w:pPr>
        <w:pStyle w:val="afff"/>
      </w:pPr>
      <w:r>
        <w:t>С изменениями и дополнениями от:</w:t>
      </w:r>
    </w:p>
    <w:p w:rsidR="00000000" w:rsidRDefault="00490FAA">
      <w:pPr>
        <w:pStyle w:val="afd"/>
      </w:pPr>
      <w:r>
        <w:t>23 ноября 2015 г.</w:t>
      </w:r>
    </w:p>
    <w:p w:rsidR="00000000" w:rsidRDefault="00490FAA"/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>
        <w:rPr>
          <w:sz w:val="22"/>
          <w:szCs w:val="22"/>
        </w:rPr>
        <w:t xml:space="preserve">                ФОРМА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реестра получателей компенсации платы, взимаемой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 родителей (иных законных представителей) за присмотр и уход за детьми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в образовательных организациях, реализующих образовательную программу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дош</w:t>
      </w:r>
      <w:r>
        <w:rPr>
          <w:sz w:val="22"/>
          <w:szCs w:val="22"/>
        </w:rPr>
        <w:t>кольного образования</w:t>
      </w:r>
    </w:p>
    <w:p w:rsidR="00000000" w:rsidRDefault="00490FAA"/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Наименование образовательной организации ________________________________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490F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9"/>
        <w:gridCol w:w="3382"/>
        <w:gridCol w:w="1671"/>
        <w:gridCol w:w="24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компенсации (на первого, второго, третьего и последующих детей)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компенсация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компенсации</w:t>
            </w:r>
          </w:p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первого ребенка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bottom w:val="nil"/>
              <w:right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второго ребенка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bottom w:val="nil"/>
              <w:right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третьего и последующих детей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</w:tbl>
    <w:p w:rsidR="00000000" w:rsidRDefault="00490FAA"/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Директор (заведующий) ________________________ (________________________)</w:t>
      </w:r>
    </w:p>
    <w:p w:rsidR="00000000" w:rsidRDefault="00490FAA"/>
    <w:p w:rsidR="00000000" w:rsidRDefault="00490FAA">
      <w:pPr>
        <w:pStyle w:val="affa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000000" w:rsidRDefault="00490FAA"/>
    <w:p w:rsidR="00000000" w:rsidRDefault="00490FAA">
      <w:pPr>
        <w:pStyle w:val="afa"/>
        <w:rPr>
          <w:color w:val="000000"/>
          <w:sz w:val="16"/>
          <w:szCs w:val="16"/>
        </w:rPr>
      </w:pPr>
      <w:bookmarkStart w:id="15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490FAA">
      <w:pPr>
        <w:pStyle w:val="afb"/>
      </w:pPr>
      <w:r>
        <w:fldChar w:fldCharType="begin"/>
      </w:r>
      <w:r>
        <w:instrText>HYPERLINK "http://ivo.garant.ru/document?id=25197498&amp;sub=12"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образования и науки Архангельской области от 19 января 2016 г. N 01 настоящий Средний размер платы изложен в новой редакции, </w:t>
      </w:r>
      <w:hyperlink r:id="rId16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7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постановления и </w:t>
      </w:r>
      <w:hyperlink r:id="rId18" w:history="1">
        <w:r>
          <w:rPr>
            <w:rStyle w:val="a4"/>
          </w:rPr>
          <w:t>распространяющейся</w:t>
        </w:r>
      </w:hyperlink>
      <w:r>
        <w:t xml:space="preserve"> на правоотн</w:t>
      </w:r>
      <w:r>
        <w:t>ошения, возникшие с 1 января 2016 г.</w:t>
      </w:r>
    </w:p>
    <w:p w:rsidR="00000000" w:rsidRDefault="00490FAA">
      <w:pPr>
        <w:pStyle w:val="afb"/>
      </w:pPr>
      <w:hyperlink r:id="rId19" w:history="1">
        <w:r>
          <w:rPr>
            <w:rStyle w:val="a4"/>
          </w:rPr>
          <w:t>См. текст Среднего размера платы в предыдущей редакции</w:t>
        </w:r>
      </w:hyperlink>
    </w:p>
    <w:p w:rsidR="00000000" w:rsidRDefault="00490FAA">
      <w:pPr>
        <w:pStyle w:val="1"/>
      </w:pPr>
      <w:r>
        <w:t>Средний размер</w:t>
      </w:r>
      <w:r>
        <w:br/>
        <w:t>платы, взимаемой с родителей (иных законных представителей) за присмотр и уход за д</w:t>
      </w:r>
      <w:r>
        <w:t>етьми в государственных и муниципальных образовательных организациях, реализующих образовательную программу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министерства образования и науки Архангельской области от 27 августа 2013 г. N 0</w:t>
      </w:r>
      <w:r>
        <w:t>7)</w:t>
      </w:r>
      <w:r>
        <w:br/>
        <w:t xml:space="preserve">(в редакции </w:t>
      </w:r>
      <w:hyperlink r:id="rId20" w:history="1">
        <w:r>
          <w:rPr>
            <w:rStyle w:val="a4"/>
            <w:b w:val="0"/>
            <w:bCs w:val="0"/>
          </w:rPr>
          <w:t>постановления</w:t>
        </w:r>
      </w:hyperlink>
      <w:r>
        <w:t xml:space="preserve"> министерства образования и науки Архангельской области от 19 января 2016 г. N 01)</w:t>
      </w:r>
    </w:p>
    <w:p w:rsidR="00000000" w:rsidRDefault="00490FAA">
      <w:pPr>
        <w:pStyle w:val="afff"/>
      </w:pPr>
      <w:r>
        <w:t>С изменениями и дополнениями от:</w:t>
      </w:r>
    </w:p>
    <w:p w:rsidR="00000000" w:rsidRDefault="00490FAA">
      <w:pPr>
        <w:pStyle w:val="afd"/>
      </w:pPr>
      <w:r>
        <w:t>20 сентября, 6 ноября 2013 г., 6 февраля, 5 июня 2</w:t>
      </w:r>
      <w:r>
        <w:t>014 г., 27 января, 7 мая, 23 ноября 2015 г., 19 января 2016 г.</w:t>
      </w:r>
    </w:p>
    <w:p w:rsidR="00000000" w:rsidRDefault="00490F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7"/>
        <w:gridCol w:w="1042"/>
        <w:gridCol w:w="1042"/>
        <w:gridCol w:w="1042"/>
        <w:gridCol w:w="1042"/>
        <w:gridCol w:w="1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</w:t>
            </w:r>
            <w:r>
              <w:rPr>
                <w:sz w:val="24"/>
                <w:szCs w:val="24"/>
              </w:rPr>
              <w:lastRenderedPageBreak/>
              <w:t>образования, городского округа</w:t>
            </w:r>
          </w:p>
        </w:tc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Средний размер платы, взимаемой с </w:t>
            </w:r>
            <w:r>
              <w:rPr>
                <w:sz w:val="24"/>
                <w:szCs w:val="24"/>
              </w:rPr>
              <w:lastRenderedPageBreak/>
              <w:t>родителей (иных 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(с учетом пребывания часов</w:t>
            </w:r>
            <w:r>
              <w:rPr>
                <w:sz w:val="24"/>
                <w:szCs w:val="24"/>
              </w:rPr>
              <w:t xml:space="preserve"> в сутки)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vMerge/>
            <w:tcBorders>
              <w:top w:val="nil"/>
              <w:bottom w:val="nil"/>
              <w:right w:val="nil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Вельский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Верхнетоемский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Вилегодский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Виноградовский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Каргопольский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Коношский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Котласский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Красноборский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Ленский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Лешуконский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Мезенский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Няндомский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Онежский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Пинежский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Плесецкий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Приморский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Устьянский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Холмогорский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Шенкурский муниципальный район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г. Архангельск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г. Северодвинск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г. Котлас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г. Новодвинск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г. Коряжма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г. Мирный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Новая Земля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rPr>
                <w:sz w:val="24"/>
                <w:szCs w:val="24"/>
              </w:rPr>
            </w:pPr>
          </w:p>
        </w:tc>
      </w:tr>
    </w:tbl>
    <w:p w:rsidR="00000000" w:rsidRDefault="00490FAA"/>
    <w:p w:rsidR="00000000" w:rsidRDefault="00490FAA">
      <w:r>
        <w:rPr>
          <w:rStyle w:val="a3"/>
        </w:rPr>
        <w:t>Примечание:</w:t>
      </w:r>
      <w:r>
        <w:t xml:space="preserve"> Компенсация за присмотр и уход за ребенком в образовательных организациях за счет средств областного бюджета выплачивается исходя из размера фактически внесенных родителем (законным представителем) денежных средств.</w:t>
      </w:r>
    </w:p>
    <w:p w:rsidR="00000000" w:rsidRDefault="00490FAA"/>
    <w:p w:rsidR="00000000" w:rsidRDefault="00490FAA">
      <w:pPr>
        <w:pStyle w:val="afa"/>
        <w:rPr>
          <w:color w:val="000000"/>
          <w:sz w:val="16"/>
          <w:szCs w:val="16"/>
        </w:rPr>
      </w:pPr>
      <w:bookmarkStart w:id="16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490FAA">
      <w:pPr>
        <w:pStyle w:val="afb"/>
      </w:pPr>
      <w:r>
        <w:fldChar w:fldCharType="begin"/>
      </w:r>
      <w:r>
        <w:instrText>HYPERLINK "http://ivo.garant.ru/document?id=25197512&amp;sub=1005"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образования и науки Архангельской области от 23 ноября 2015 г. N 15 настоящее постановление дополнено Методикой</w:t>
      </w:r>
    </w:p>
    <w:p w:rsidR="00000000" w:rsidRDefault="00490FAA">
      <w:pPr>
        <w:pStyle w:val="1"/>
      </w:pPr>
      <w:r>
        <w:lastRenderedPageBreak/>
        <w:t>Методика</w:t>
      </w:r>
      <w:r>
        <w:br/>
      </w:r>
      <w:r>
        <w:t>расчета максимального размера платы, взимаемой с родителей (иных законных представителей) за присмотр и уход за детьми в государственных и муниципальных образовательных организациях для каждого муниципального образования, находящегося на территории Арханге</w:t>
      </w:r>
      <w:r>
        <w:t>льской области, в зависимости от условий присмотра и ухода за детьми</w:t>
      </w:r>
    </w:p>
    <w:p w:rsidR="00000000" w:rsidRDefault="00490FAA"/>
    <w:p w:rsidR="00000000" w:rsidRDefault="00490FAA">
      <w:bookmarkStart w:id="17" w:name="sub_3001"/>
      <w:r>
        <w:t>1. Настоящая методика расчета максимального размера платы, взимаемой с родителей (иных законных представителей) за присмотр и уход за детьми в государственных и муниципальных обр</w:t>
      </w:r>
      <w:r>
        <w:t xml:space="preserve">азовательных организациях для каждого муниципального образования, находящегося на территории Архангельской области, в зависимости от условий присмотра и ухода за детьми (далее - максимальный размер родительской платы), разработана в соответствии с </w:t>
      </w:r>
      <w:hyperlink r:id="rId21" w:history="1">
        <w:r>
          <w:rPr>
            <w:rStyle w:val="a4"/>
          </w:rPr>
          <w:t>частью 5 статьи 65</w:t>
        </w:r>
      </w:hyperlink>
      <w:r>
        <w:t xml:space="preserve"> Федерального закона Российской Федерации от 29 декабря 2012 года N 273-ФЗ "Об образовании в Российской Федерации", </w:t>
      </w:r>
      <w:hyperlink r:id="rId22" w:history="1">
        <w:r>
          <w:rPr>
            <w:rStyle w:val="a4"/>
          </w:rPr>
          <w:t>подпунктом 29.2 пункта 1 статьи 10</w:t>
        </w:r>
      </w:hyperlink>
      <w:r>
        <w:t xml:space="preserve"> и </w:t>
      </w:r>
      <w:hyperlink r:id="rId23" w:history="1">
        <w:r>
          <w:rPr>
            <w:rStyle w:val="a4"/>
          </w:rPr>
          <w:t>пунктом 3 статьи 34</w:t>
        </w:r>
      </w:hyperlink>
      <w:r>
        <w:t xml:space="preserve"> областного закона от 02 июля 2013 года N 712-41-ОЗ "Об образовании в Архангельской области".</w:t>
      </w:r>
    </w:p>
    <w:p w:rsidR="00000000" w:rsidRDefault="00490FAA">
      <w:bookmarkStart w:id="18" w:name="sub_3002"/>
      <w:bookmarkEnd w:id="17"/>
      <w:r>
        <w:t xml:space="preserve">2. Максимальный размер </w:t>
      </w:r>
      <w:r>
        <w:t>родительской платы должен покрывать расходы образовательной организации, связанные:</w:t>
      </w:r>
    </w:p>
    <w:bookmarkEnd w:id="18"/>
    <w:p w:rsidR="00000000" w:rsidRDefault="00490FAA">
      <w:r>
        <w:t>с приобретением продуктов питания;</w:t>
      </w:r>
    </w:p>
    <w:p w:rsidR="00000000" w:rsidRDefault="00490FAA">
      <w:r>
        <w:t>с приобретением расходных материалов, используемых для обеспечения соблюдения воспитанниками режима дня и личной гигиены.</w:t>
      </w:r>
    </w:p>
    <w:p w:rsidR="00000000" w:rsidRDefault="00490FAA">
      <w:bookmarkStart w:id="19" w:name="sub_3003"/>
      <w:r>
        <w:t>3. Максимальный размер родительской платы в день рассчитывается по формуле:</w:t>
      </w:r>
    </w:p>
    <w:bookmarkEnd w:id="19"/>
    <w:p w:rsidR="00000000" w:rsidRDefault="00490FAA"/>
    <w:p w:rsidR="00000000" w:rsidRDefault="008A6B7D">
      <w:r>
        <w:rPr>
          <w:noProof/>
        </w:rPr>
        <w:drawing>
          <wp:inline distT="0" distB="0" distL="0" distR="0">
            <wp:extent cx="1188720" cy="236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0FAA"/>
    <w:p w:rsidR="00000000" w:rsidRDefault="008A6B7D">
      <w:r>
        <w:rPr>
          <w:noProof/>
        </w:rPr>
        <w:drawing>
          <wp:inline distT="0" distB="0" distL="0" distR="0">
            <wp:extent cx="144780" cy="198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максимальный размер родительской платы в день (руб.);</w:t>
      </w:r>
    </w:p>
    <w:p w:rsidR="00000000" w:rsidRDefault="008A6B7D">
      <w:r>
        <w:rPr>
          <w:noProof/>
        </w:rPr>
        <w:drawing>
          <wp:inline distT="0" distB="0" distL="0" distR="0">
            <wp:extent cx="2743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затраты на приобретение продуктов питания (руб.);</w:t>
      </w:r>
    </w:p>
    <w:p w:rsidR="00000000" w:rsidRDefault="008A6B7D">
      <w:r>
        <w:rPr>
          <w:noProof/>
        </w:rPr>
        <w:drawing>
          <wp:inline distT="0" distB="0" distL="0" distR="0">
            <wp:extent cx="266700" cy="2362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затраты на осуществление прочих расход</w:t>
      </w:r>
      <w:r w:rsidR="00490FAA">
        <w:t>ов, связанных с приобретением расходных материалов, используемых для обеспечения соблюдения воспитанниками режима дня и личной гигиены (руб.).</w:t>
      </w:r>
    </w:p>
    <w:p w:rsidR="00000000" w:rsidRDefault="00490FAA">
      <w:bookmarkStart w:id="20" w:name="sub_3004"/>
      <w:r>
        <w:t>4. Затраты на приобретение продуктов питания складываются из стоимости суточного рациона питания одного р</w:t>
      </w:r>
      <w:r>
        <w:t>ебенка в соответствии с установленными нормами СанПиН (</w:t>
      </w:r>
      <w:hyperlink r:id="rId28" w:history="1">
        <w:r>
          <w:rPr>
            <w:rStyle w:val="a4"/>
          </w:rPr>
          <w:t>Приложения 10</w:t>
        </w:r>
      </w:hyperlink>
      <w:r>
        <w:t xml:space="preserve">, </w:t>
      </w:r>
      <w:hyperlink r:id="rId29" w:history="1">
        <w:r>
          <w:rPr>
            <w:rStyle w:val="a4"/>
          </w:rPr>
          <w:t>11</w:t>
        </w:r>
      </w:hyperlink>
      <w:r>
        <w:t xml:space="preserve"> к </w:t>
      </w:r>
      <w:hyperlink r:id="rId30" w:history="1">
        <w:r>
          <w:rPr>
            <w:rStyle w:val="a4"/>
          </w:rPr>
          <w:t>СанПиН 2.4.1.3049-13</w:t>
        </w:r>
      </w:hyperlink>
      <w:r>
        <w:t>) с учетом сезонности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</w:t>
      </w:r>
    </w:p>
    <w:bookmarkEnd w:id="20"/>
    <w:p w:rsidR="00000000" w:rsidRDefault="00490FAA">
      <w:r>
        <w:t>Затра</w:t>
      </w:r>
      <w:r>
        <w:t>ты на приобретение продуктов питания рассчитываются по формуле:</w:t>
      </w:r>
    </w:p>
    <w:p w:rsidR="00000000" w:rsidRDefault="00490FAA"/>
    <w:p w:rsidR="00000000" w:rsidRDefault="008A6B7D">
      <w:r>
        <w:rPr>
          <w:noProof/>
        </w:rPr>
        <w:drawing>
          <wp:inline distT="0" distB="0" distL="0" distR="0">
            <wp:extent cx="1546860" cy="2362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0FAA"/>
    <w:p w:rsidR="00000000" w:rsidRDefault="00490FAA">
      <w:r>
        <w:t>где:</w:t>
      </w:r>
    </w:p>
    <w:p w:rsidR="00000000" w:rsidRDefault="008A6B7D">
      <w:r>
        <w:rPr>
          <w:noProof/>
        </w:rPr>
        <w:drawing>
          <wp:inline distT="0" distB="0" distL="0" distR="0">
            <wp:extent cx="27432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затраты на приобретение продуктов питания (руб.);</w:t>
      </w:r>
    </w:p>
    <w:p w:rsidR="00000000" w:rsidRDefault="008A6B7D">
      <w:r>
        <w:rPr>
          <w:noProof/>
        </w:rPr>
        <w:lastRenderedPageBreak/>
        <w:drawing>
          <wp:inline distT="0" distB="0" distL="0" distR="0">
            <wp:extent cx="373380" cy="2362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затраты на приобретени</w:t>
      </w:r>
      <w:r w:rsidR="00490FAA">
        <w:t>е продуктов питания при оказании основной услуги по присмотру и уходу за детьми (руб.);</w:t>
      </w:r>
    </w:p>
    <w:p w:rsidR="00000000" w:rsidRDefault="008A6B7D">
      <w:r>
        <w:rPr>
          <w:noProof/>
        </w:rPr>
        <w:drawing>
          <wp:inline distT="0" distB="0" distL="0" distR="0">
            <wp:extent cx="678180" cy="1981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дифференцирующие коэффициенты, учитывающие различия в рационе питания детей, в том числе различия в рыночной стоимости потребляемы</w:t>
      </w:r>
      <w:r w:rsidR="00490FAA">
        <w:t>х продуктов.</w:t>
      </w:r>
    </w:p>
    <w:p w:rsidR="00000000" w:rsidRDefault="00490FAA">
      <w:bookmarkStart w:id="21" w:name="sub_3005"/>
      <w:r>
        <w:t>5. Затраты на приобретение продуктов питания при оказании основной услуги по присмотру и уходу за детьми рассчитываются по формуле:</w:t>
      </w:r>
    </w:p>
    <w:bookmarkEnd w:id="21"/>
    <w:p w:rsidR="00000000" w:rsidRDefault="00490FAA"/>
    <w:p w:rsidR="00000000" w:rsidRDefault="008A6B7D">
      <w:r>
        <w:rPr>
          <w:noProof/>
        </w:rPr>
        <w:drawing>
          <wp:inline distT="0" distB="0" distL="0" distR="0">
            <wp:extent cx="1638300" cy="2590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0FAA"/>
    <w:p w:rsidR="00000000" w:rsidRDefault="00490FAA">
      <w:r>
        <w:t>где:</w:t>
      </w:r>
    </w:p>
    <w:p w:rsidR="00000000" w:rsidRDefault="008A6B7D">
      <w:r>
        <w:rPr>
          <w:noProof/>
        </w:rPr>
        <w:drawing>
          <wp:inline distT="0" distB="0" distL="0" distR="0">
            <wp:extent cx="373380" cy="2362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затраты на при</w:t>
      </w:r>
      <w:r w:rsidR="00490FAA">
        <w:t>обретение продуктов питания при оказании основной услуги по присмотру и уходу за детьми (руб.);</w:t>
      </w:r>
    </w:p>
    <w:p w:rsidR="00000000" w:rsidRDefault="008A6B7D">
      <w:r>
        <w:rPr>
          <w:noProof/>
        </w:rPr>
        <w:drawing>
          <wp:inline distT="0" distB="0" distL="0" distR="0">
            <wp:extent cx="388620" cy="1981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знак суммирования;</w:t>
      </w:r>
    </w:p>
    <w:p w:rsidR="00000000" w:rsidRDefault="008A6B7D">
      <w:r>
        <w:rPr>
          <w:noProof/>
        </w:rPr>
        <w:drawing>
          <wp:inline distT="0" distB="0" distL="0" distR="0">
            <wp:extent cx="175260" cy="2362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средняя рыночная стоимость приобретения единицы i-го продукта, по данным Территориального органа Федеральной службы государственной статистики по Архангельской </w:t>
      </w:r>
      <w:r w:rsidR="00490FAA">
        <w:t>области, действующая на момент определения затрат на приобретение продуктов питания из рациона потребления детей (на 17 августа 2015 года), за исключением муниципального образования городской округ "Новая Земля" (далее - Новая Земля); (руб.).</w:t>
      </w:r>
    </w:p>
    <w:p w:rsidR="00000000" w:rsidRDefault="00490FAA">
      <w:r>
        <w:t>Стоимость при</w:t>
      </w:r>
      <w:r>
        <w:t>обретения единицы i-го продукта на территории Новой Земли определяется исходя из данных, представленных администрацией Новой Земли;</w:t>
      </w:r>
    </w:p>
    <w:p w:rsidR="00000000" w:rsidRDefault="008A6B7D">
      <w:r>
        <w:rPr>
          <w:noProof/>
        </w:rPr>
        <w:drawing>
          <wp:inline distT="0" distB="0" distL="0" distR="0">
            <wp:extent cx="175260" cy="2362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суточный объем потребления i-го продукта в рационе детей, единиц;</w:t>
      </w:r>
    </w:p>
    <w:p w:rsidR="00000000" w:rsidRDefault="008A6B7D">
      <w:r>
        <w:rPr>
          <w:noProof/>
        </w:rPr>
        <w:drawing>
          <wp:inline distT="0" distB="0" distL="0" distR="0">
            <wp:extent cx="152400" cy="1981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индекс роста потребительских цен по товарной группе "продовольственные товары" на планируемый период, прогнозируемый министерством экономического развития и конкурентной политики Архангельской области и действующий на момент определения з</w:t>
      </w:r>
      <w:r w:rsidR="00490FAA">
        <w:t>атрат на приобретение продуктов питания на одного воспитанника в день;</w:t>
      </w:r>
    </w:p>
    <w:p w:rsidR="00000000" w:rsidRDefault="00490FAA">
      <w:bookmarkStart w:id="22" w:name="sub_3006"/>
      <w:r>
        <w:t>6. 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bookmarkEnd w:id="22"/>
    <w:p w:rsidR="00000000" w:rsidRDefault="00490FAA">
      <w:r>
        <w:t xml:space="preserve">11 - коэффициент, учитывающий </w:t>
      </w:r>
      <w:r>
        <w:t>возраст воспитанников;</w:t>
      </w:r>
    </w:p>
    <w:p w:rsidR="00000000" w:rsidRDefault="00490FAA">
      <w:r>
        <w:t>12 - коэффициент, учитывающий режим пребывания воспитанников;</w:t>
      </w:r>
    </w:p>
    <w:p w:rsidR="00000000" w:rsidRDefault="00490FAA">
      <w:r>
        <w:t>13 - коэффициент, учитывающий режим работы организации.</w:t>
      </w:r>
    </w:p>
    <w:p w:rsidR="00000000" w:rsidRDefault="00490FAA">
      <w:bookmarkStart w:id="23" w:name="sub_3007"/>
      <w:r>
        <w:t>7. Затраты на осуществление прочих расходов, связанных с приобретением расходных материалов, используемых д</w:t>
      </w:r>
      <w:r>
        <w:t>ля обеспечения соблюдения воспитанниками режима дня и личной гигиены, определяются на уровне муниципального района (городского округа) на основе натуральных затрат дошкольных образовательных организаций, но не более 10 процентов от размера затрат на приобр</w:t>
      </w:r>
      <w:r>
        <w:t>етение продуктов питания:</w:t>
      </w:r>
    </w:p>
    <w:bookmarkEnd w:id="23"/>
    <w:p w:rsidR="00000000" w:rsidRDefault="00490FAA"/>
    <w:p w:rsidR="00000000" w:rsidRDefault="008A6B7D">
      <w:r>
        <w:rPr>
          <w:noProof/>
        </w:rPr>
        <w:drawing>
          <wp:inline distT="0" distB="0" distL="0" distR="0">
            <wp:extent cx="1013460" cy="2362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0FAA"/>
    <w:p w:rsidR="00000000" w:rsidRDefault="00490FAA">
      <w:r>
        <w:t>где:</w:t>
      </w:r>
    </w:p>
    <w:p w:rsidR="00000000" w:rsidRDefault="008A6B7D">
      <w:r>
        <w:rPr>
          <w:noProof/>
        </w:rPr>
        <w:lastRenderedPageBreak/>
        <w:drawing>
          <wp:inline distT="0" distB="0" distL="0" distR="0">
            <wp:extent cx="266700" cy="2362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затраты на осуществление прочих расходов, связанных с приобретением расходных материалов, используемых для обеспечения соблюдения воспитанни</w:t>
      </w:r>
      <w:r w:rsidR="00490FAA">
        <w:t>ками режима дня и личной гигиены (руб.);</w:t>
      </w:r>
    </w:p>
    <w:p w:rsidR="00000000" w:rsidRDefault="008A6B7D">
      <w:r>
        <w:rPr>
          <w:noProof/>
        </w:rPr>
        <w:drawing>
          <wp:inline distT="0" distB="0" distL="0" distR="0">
            <wp:extent cx="274320" cy="23622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затраты на приобретение продуктов питания (руб.);</w:t>
      </w:r>
    </w:p>
    <w:p w:rsidR="00000000" w:rsidRDefault="008A6B7D">
      <w:r>
        <w:rPr>
          <w:noProof/>
        </w:rPr>
        <w:drawing>
          <wp:inline distT="0" distB="0" distL="0" distR="0">
            <wp:extent cx="259080" cy="18288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FAA">
        <w:t xml:space="preserve"> - размер затрат на осуществление прочих расходов;</w:t>
      </w:r>
    </w:p>
    <w:p w:rsidR="00000000" w:rsidRDefault="00490FAA">
      <w:bookmarkStart w:id="24" w:name="sub_3008"/>
      <w:r>
        <w:t>8. </w:t>
      </w:r>
      <w:r>
        <w:t>Состав дифференцирующих коэффициентов, учитывающих различия в рационе питания детей:</w:t>
      </w:r>
    </w:p>
    <w:bookmarkEnd w:id="24"/>
    <w:p w:rsidR="00000000" w:rsidRDefault="00490F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8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Коэффициент, учитывающий возраст воспитанников (возраст детей в посещаемой группе) (I1)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f2"/>
            </w:pPr>
            <w:r>
              <w:t>1,0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</w:pPr>
            <w:r>
              <w:t>для воспитанников в возрасте до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f2"/>
            </w:pPr>
            <w:r>
              <w:t>1,2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</w:pPr>
            <w:r>
              <w:t>для воспитанников старше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Коэффициент, учитывающий режим пребывания воспитанников (I2)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f2"/>
            </w:pPr>
            <w:r>
              <w:t>0,55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f2"/>
            </w:pPr>
            <w:r>
              <w:t>для воспитанников, посещающих группы кратковременного пребывания (до 5-ти часов)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f2"/>
            </w:pPr>
            <w:r>
              <w:t>0,70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f2"/>
            </w:pPr>
            <w:r>
              <w:t>для воспитанников, посещающих группы с 8-часовыми режимами пребывания, с 9-часовыми режимами пребывания, 10-часовыми режимами пребывания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f2"/>
            </w:pPr>
            <w:r>
              <w:t>0,95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f2"/>
            </w:pPr>
            <w:r>
              <w:t>для воспитанников, посещающих группы с 10,5-часовыми режимами пребывания, 11 -часовыми режимами пребывания;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f2"/>
            </w:pPr>
            <w:r>
              <w:t>1,0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f2"/>
            </w:pPr>
            <w:r>
              <w:t>для воспитанников, посещающих группы с 12-часовыми режимами пребывания; с 14-часовыми режимами пребывания и круглосуточного пребывания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Коэффициент, учитывающий режим работы организации (I3)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f2"/>
            </w:pPr>
            <w:r>
              <w:t>1,0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f2"/>
            </w:pPr>
            <w:r>
              <w:t>для воспитанников, посещающих организации с 5-дневным режимом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f2"/>
            </w:pPr>
            <w:r>
              <w:t>1,2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f2"/>
            </w:pPr>
            <w:r>
              <w:t>для воспитанников, посещающих организации с 6-дневным режимом работы</w:t>
            </w:r>
          </w:p>
        </w:tc>
      </w:tr>
    </w:tbl>
    <w:p w:rsidR="00000000" w:rsidRDefault="00490FAA"/>
    <w:p w:rsidR="00000000" w:rsidRDefault="00490FAA">
      <w:pPr>
        <w:pStyle w:val="afa"/>
        <w:rPr>
          <w:color w:val="000000"/>
          <w:sz w:val="16"/>
          <w:szCs w:val="16"/>
        </w:rPr>
      </w:pPr>
      <w:bookmarkStart w:id="25" w:name="sub_40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490FAA">
      <w:pPr>
        <w:pStyle w:val="afb"/>
      </w:pPr>
      <w:r>
        <w:fldChar w:fldCharType="begin"/>
      </w:r>
      <w:r>
        <w:instrText>HYPERLINK "http://ivo.garant.ru/document?id=25197512&amp;sub=1006"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министерства образования и науки Архангельской области от 23 ноября 2015 г. N 15 настоящее постановление дополнено Максимальным размером платы</w:t>
      </w:r>
    </w:p>
    <w:p w:rsidR="00000000" w:rsidRDefault="00490FAA">
      <w:pPr>
        <w:pStyle w:val="1"/>
      </w:pPr>
      <w:r>
        <w:t>Максимальный размер</w:t>
      </w:r>
      <w:r>
        <w:br/>
        <w:t>платы, взимаемой с родителей (иных законных представителей) за присмотр и у</w:t>
      </w:r>
      <w:r>
        <w:t>ход за детьми в государственных и муниципальных образовательных организациях, реализующих образовательную программу дошкольного образования, для каждого муниципального образования находящегося на территории Архангельской области, в зависимости от условий п</w:t>
      </w:r>
      <w:r>
        <w:t>рисмотра и ухода за детьми</w:t>
      </w:r>
    </w:p>
    <w:p w:rsidR="00000000" w:rsidRDefault="00490FAA"/>
    <w:p w:rsidR="00000000" w:rsidRDefault="00490FAA">
      <w:bookmarkStart w:id="26" w:name="sub_4001"/>
      <w:r>
        <w:t>1. При пятидневной рабочей неделе</w:t>
      </w:r>
    </w:p>
    <w:bookmarkEnd w:id="26"/>
    <w:p w:rsidR="00000000" w:rsidRDefault="00490FAA"/>
    <w:p w:rsidR="00000000" w:rsidRDefault="00490FAA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133"/>
        <w:gridCol w:w="1283"/>
        <w:gridCol w:w="1555"/>
        <w:gridCol w:w="1560"/>
        <w:gridCol w:w="1560"/>
        <w:gridCol w:w="1003"/>
        <w:gridCol w:w="1280"/>
        <w:gridCol w:w="128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lastRenderedPageBreak/>
              <w:t>Регион, муниципальное образование, городской округ</w:t>
            </w:r>
          </w:p>
        </w:tc>
        <w:tc>
          <w:tcPr>
            <w:tcW w:w="119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В день с учетом периода пребывания воспитанника в организации (рублей в сутки)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стоимость суточного набора на 2015 год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для воспитанников до 3 -х лет посещающих группы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для воспитанников старше 3-х лет посещающих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кратковременного пребывания (до 5-ти часов)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сокращенного пребывания (8, 9, 9,5 и 10-часовыми режимами пребывания)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сокращенного пребывания (10,5, 11-часовыми режимами пребывания)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полного дня с 12-часовыми режимами пребывания, продленного дня с 14- часовыми режимами пребывания и круглосуточно го пребывания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кратковременного пребывания (до 5-ти часов)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сокращенного пребыва</w:t>
            </w:r>
            <w:r>
              <w:t>ния (8, 9, 9,5 и 10-часовыми режимами пребывания)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сокращенного пребывания (10,5, 11-часовыми режимами пребывания)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полного дня с 12-часовыми режимами пребывания, продленного дня с 14-часовыми режимами пребывания и круглосуточно го пребывания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f2"/>
            </w:pPr>
            <w:r>
              <w:t>Муниципальные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151,14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91,0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166,0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190,0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f2"/>
            </w:pPr>
            <w:r>
              <w:t xml:space="preserve">Архангельской области </w:t>
            </w:r>
            <w:hyperlink w:anchor="sub_41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f2"/>
            </w:pPr>
            <w:r>
              <w:t xml:space="preserve">МО "Новая </w:t>
            </w:r>
            <w:r>
              <w:lastRenderedPageBreak/>
              <w:t>Земля"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lastRenderedPageBreak/>
              <w:t>229,54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139,0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252,0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167,0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212,0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288,0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</w:pPr>
            <w:r>
              <w:t>303,0</w:t>
            </w:r>
          </w:p>
        </w:tc>
      </w:tr>
    </w:tbl>
    <w:p w:rsidR="00000000" w:rsidRDefault="00490FAA"/>
    <w:p w:rsidR="00000000" w:rsidRDefault="00490FAA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90FAA">
      <w:bookmarkStart w:id="27" w:name="sub_4002"/>
      <w:r>
        <w:lastRenderedPageBreak/>
        <w:t>2. </w:t>
      </w:r>
      <w:r>
        <w:t>При шестидневной рабочей неделе</w:t>
      </w:r>
    </w:p>
    <w:bookmarkEnd w:id="27"/>
    <w:p w:rsidR="00000000" w:rsidRDefault="00490FAA"/>
    <w:p w:rsidR="00000000" w:rsidRDefault="00490FAA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133"/>
        <w:gridCol w:w="1283"/>
        <w:gridCol w:w="1555"/>
        <w:gridCol w:w="1560"/>
        <w:gridCol w:w="1560"/>
        <w:gridCol w:w="1003"/>
        <w:gridCol w:w="1280"/>
        <w:gridCol w:w="128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lastRenderedPageBreak/>
              <w:t>Регион, муниципальное образование, городской округ</w:t>
            </w:r>
          </w:p>
        </w:tc>
        <w:tc>
          <w:tcPr>
            <w:tcW w:w="119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В день с учетом периода пребывания воспитанника в организации (рублей в сутки)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стоимость суточного набора на 2015 год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для воспитанников до 3-</w:t>
            </w:r>
            <w:r>
              <w:t>х лет посещающих группы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для воспитанников старше 3 -х лет посещающих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кратковременного пребывания (до 5-ти часов)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сокращенного пребывания (8, 9, 9,5 и 10-часовыми режимами пребывания)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сокращенного пребывания (10,5, 11-часовыми режимами пребывания)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полного дня с 12-часовыми режимами пребывания, продленного дня с 14-часовыми режимами пребывания и круглосуточно го пребывания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кратковременного пребывания (до 5-ти часов)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сокращенного пребывания (8, 9, 9,5 и 10-часовыми режимами пребывания)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сокращенного п</w:t>
            </w:r>
            <w:r>
              <w:t>ребывания (10,5, 11-часовыми режимами пребывания)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полного дня с 12-часовыми режимами пребывания, продленного дня с 14-часовыми режимами пребывания и круглосуточно го пребывания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f2"/>
            </w:pPr>
            <w:r>
              <w:t xml:space="preserve">Муниципальные образования Архангельской области </w:t>
            </w:r>
            <w:hyperlink w:anchor="sub_411" w:history="1">
              <w:r>
                <w:rPr>
                  <w:rStyle w:val="a4"/>
                </w:rPr>
                <w:t>1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151,41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101,0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183,0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121,0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154,0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208,0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90FAA">
            <w:pPr>
              <w:pStyle w:val="aff9"/>
              <w:jc w:val="center"/>
            </w:pPr>
            <w:r>
              <w:t>219,0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f2"/>
            </w:pPr>
            <w:r>
              <w:t xml:space="preserve">МО "Новая </w:t>
            </w:r>
            <w:r>
              <w:lastRenderedPageBreak/>
              <w:t>Земля"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lastRenderedPageBreak/>
              <w:t>229,54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264,0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278,0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183,0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233,0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90FAA">
            <w:pPr>
              <w:pStyle w:val="aff9"/>
              <w:jc w:val="center"/>
            </w:pPr>
            <w:r>
              <w:t>317,0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90FAA">
            <w:pPr>
              <w:pStyle w:val="aff9"/>
              <w:jc w:val="center"/>
            </w:pPr>
            <w:r>
              <w:t>333,0".</w:t>
            </w:r>
          </w:p>
        </w:tc>
      </w:tr>
    </w:tbl>
    <w:p w:rsidR="00000000" w:rsidRDefault="00490FAA"/>
    <w:p w:rsidR="00000000" w:rsidRDefault="00490FAA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90FAA">
      <w:bookmarkStart w:id="28" w:name="sub_411"/>
      <w:r>
        <w:rPr>
          <w:rStyle w:val="a3"/>
        </w:rPr>
        <w:lastRenderedPageBreak/>
        <w:t>1</w:t>
      </w:r>
      <w:r>
        <w:t xml:space="preserve"> Муниципальные образования "Город Архангельск", "Вельский муниципальный район", "Верхнетоемский муниципальный район", "Вилегодский муниципальный район", "Виноградовский муниципальный район", "Каргопольский муниципальный район", "Коношский муниципальный рай</w:t>
      </w:r>
      <w:r>
        <w:t>он", "Город Коряжма", "Котлас", "Котласский муниципальный район", "Красноборский муниципальный район", "Ленский муниципальный район", "Лешуконский муниципальный район", "Мезенский муниципальный район", "Мирный", "Город Новодвинск", "Няндомский муниципальны</w:t>
      </w:r>
      <w:r>
        <w:t>й район", "Онежский муниципальный район", "Пинежский муниципальный район", "Плесецкий муниципальный район", "Приморский муниципальный район", "Северодвинск", "Устьянский муниципальный район", "Холмогорский муниципальный район", "Шенкурский муниципальный ра</w:t>
      </w:r>
      <w:r>
        <w:t>йон".</w:t>
      </w:r>
    </w:p>
    <w:bookmarkEnd w:id="28"/>
    <w:p w:rsidR="00490FAA" w:rsidRDefault="00490FAA"/>
    <w:sectPr w:rsidR="00490FAA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543E"/>
    <w:rsid w:val="0018543E"/>
    <w:rsid w:val="00490FAA"/>
    <w:rsid w:val="008A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5141788&amp;sub=0" TargetMode="External"/><Relationship Id="rId13" Type="http://schemas.openxmlformats.org/officeDocument/2006/relationships/hyperlink" Target="http://ivo.garant.ru/document?id=25094310&amp;sub=343" TargetMode="External"/><Relationship Id="rId18" Type="http://schemas.openxmlformats.org/officeDocument/2006/relationships/hyperlink" Target="http://ivo.garant.ru/document?id=25197498&amp;sub=2" TargetMode="External"/><Relationship Id="rId26" Type="http://schemas.openxmlformats.org/officeDocument/2006/relationships/image" Target="media/image3.emf"/><Relationship Id="rId39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191362&amp;sub=108767" TargetMode="External"/><Relationship Id="rId34" Type="http://schemas.openxmlformats.org/officeDocument/2006/relationships/image" Target="media/image8.emf"/><Relationship Id="rId42" Type="http://schemas.openxmlformats.org/officeDocument/2006/relationships/image" Target="media/image16.emf"/><Relationship Id="rId7" Type="http://schemas.openxmlformats.org/officeDocument/2006/relationships/hyperlink" Target="http://ivo.garant.ru/document?id=25094310&amp;sub=343" TargetMode="External"/><Relationship Id="rId12" Type="http://schemas.openxmlformats.org/officeDocument/2006/relationships/hyperlink" Target="http://ivo.garant.ru/document?id=25094310&amp;sub=1129" TargetMode="External"/><Relationship Id="rId17" Type="http://schemas.openxmlformats.org/officeDocument/2006/relationships/hyperlink" Target="http://ivo.garant.ru/document?id=25197500&amp;sub=0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7.emf"/><Relationship Id="rId38" Type="http://schemas.openxmlformats.org/officeDocument/2006/relationships/image" Target="media/image12.e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25197498&amp;sub=2" TargetMode="External"/><Relationship Id="rId20" Type="http://schemas.openxmlformats.org/officeDocument/2006/relationships/hyperlink" Target="http://ivo.garant.ru/document?id=25197498&amp;sub=0" TargetMode="External"/><Relationship Id="rId29" Type="http://schemas.openxmlformats.org/officeDocument/2006/relationships/hyperlink" Target="http://ivo.garant.ru/document?id=70314724&amp;sub=10011" TargetMode="External"/><Relationship Id="rId41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25094310&amp;sub=1129" TargetMode="External"/><Relationship Id="rId11" Type="http://schemas.openxmlformats.org/officeDocument/2006/relationships/hyperlink" Target="http://ivo.garant.ru/document?id=70191362&amp;sub=108767" TargetMode="External"/><Relationship Id="rId24" Type="http://schemas.openxmlformats.org/officeDocument/2006/relationships/image" Target="media/image1.emf"/><Relationship Id="rId32" Type="http://schemas.openxmlformats.org/officeDocument/2006/relationships/image" Target="media/image6.emf"/><Relationship Id="rId37" Type="http://schemas.openxmlformats.org/officeDocument/2006/relationships/image" Target="media/image11.emf"/><Relationship Id="rId40" Type="http://schemas.openxmlformats.org/officeDocument/2006/relationships/image" Target="media/image14.emf"/><Relationship Id="rId45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767" TargetMode="External"/><Relationship Id="rId15" Type="http://schemas.openxmlformats.org/officeDocument/2006/relationships/hyperlink" Target="http://ivo.garant.ru/document?id=25022350&amp;sub=2000" TargetMode="External"/><Relationship Id="rId23" Type="http://schemas.openxmlformats.org/officeDocument/2006/relationships/hyperlink" Target="http://ivo.garant.ru/document?id=25094310&amp;sub=343" TargetMode="External"/><Relationship Id="rId28" Type="http://schemas.openxmlformats.org/officeDocument/2006/relationships/hyperlink" Target="http://ivo.garant.ru/document?id=70314724&amp;sub=10010" TargetMode="External"/><Relationship Id="rId36" Type="http://schemas.openxmlformats.org/officeDocument/2006/relationships/image" Target="media/image10.emf"/><Relationship Id="rId10" Type="http://schemas.openxmlformats.org/officeDocument/2006/relationships/hyperlink" Target="http://ivo.garant.ru/document?id=25197512&amp;sub=0" TargetMode="External"/><Relationship Id="rId19" Type="http://schemas.openxmlformats.org/officeDocument/2006/relationships/hyperlink" Target="http://ivo.garant.ru/document?id=25122350&amp;sub=20000" TargetMode="External"/><Relationship Id="rId31" Type="http://schemas.openxmlformats.org/officeDocument/2006/relationships/image" Target="media/image5.emf"/><Relationship Id="rId44" Type="http://schemas.openxmlformats.org/officeDocument/2006/relationships/image" Target="media/image18.emf"/><Relationship Id="rId4" Type="http://schemas.openxmlformats.org/officeDocument/2006/relationships/hyperlink" Target="http://ivo.garant.ru/document?id=25141787&amp;sub=0" TargetMode="External"/><Relationship Id="rId9" Type="http://schemas.openxmlformats.org/officeDocument/2006/relationships/hyperlink" Target="http://ivo.garant.ru/document?id=25022350&amp;sub=10000" TargetMode="External"/><Relationship Id="rId14" Type="http://schemas.openxmlformats.org/officeDocument/2006/relationships/hyperlink" Target="http://ivo.garant.ru/document?id=25022350&amp;sub=1000" TargetMode="External"/><Relationship Id="rId22" Type="http://schemas.openxmlformats.org/officeDocument/2006/relationships/hyperlink" Target="http://ivo.garant.ru/document?id=25094310&amp;sub=11292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://ivo.garant.ru/document?id=70314724&amp;sub=1000" TargetMode="External"/><Relationship Id="rId35" Type="http://schemas.openxmlformats.org/officeDocument/2006/relationships/image" Target="media/image9.emf"/><Relationship Id="rId43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3815</Words>
  <Characters>21752</Characters>
  <Application>Microsoft Office Word</Application>
  <DocSecurity>0</DocSecurity>
  <Lines>181</Lines>
  <Paragraphs>51</Paragraphs>
  <ScaleCrop>false</ScaleCrop>
  <Company>НПП "Гарант-Сервис"</Company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Детский сад</cp:lastModifiedBy>
  <cp:revision>2</cp:revision>
  <dcterms:created xsi:type="dcterms:W3CDTF">2017-04-28T13:50:00Z</dcterms:created>
  <dcterms:modified xsi:type="dcterms:W3CDTF">2017-04-28T13:50:00Z</dcterms:modified>
</cp:coreProperties>
</file>